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E5FB" w14:textId="77777777" w:rsidR="00C51771" w:rsidRDefault="00C51771" w:rsidP="00C51771">
      <w:pPr>
        <w:spacing w:after="0" w:line="240" w:lineRule="auto"/>
        <w:jc w:val="center"/>
        <w:rPr>
          <w:rFonts w:ascii="Arial" w:hAnsi="Arial" w:cs="Arial"/>
          <w:b/>
          <w:sz w:val="24"/>
          <w:szCs w:val="24"/>
        </w:rPr>
      </w:pPr>
      <w:bookmarkStart w:id="0" w:name="_GoBack"/>
      <w:bookmarkEnd w:id="0"/>
      <w:r>
        <w:rPr>
          <w:rFonts w:ascii="Arial" w:hAnsi="Arial" w:cs="Arial"/>
          <w:b/>
          <w:sz w:val="24"/>
          <w:szCs w:val="24"/>
        </w:rPr>
        <w:t>BASN Conserving Speaker Abstracts</w:t>
      </w:r>
    </w:p>
    <w:p w14:paraId="5C2EC05F" w14:textId="77777777" w:rsidR="00C51771" w:rsidRDefault="00C51771" w:rsidP="00C51771">
      <w:pPr>
        <w:spacing w:after="0" w:line="240" w:lineRule="auto"/>
        <w:rPr>
          <w:rFonts w:ascii="Arial" w:hAnsi="Arial" w:cs="Arial"/>
          <w:b/>
          <w:sz w:val="24"/>
          <w:szCs w:val="24"/>
        </w:rPr>
      </w:pPr>
    </w:p>
    <w:p w14:paraId="0896F5D3" w14:textId="77777777" w:rsidR="00C51771" w:rsidRDefault="00C51771" w:rsidP="00C51771">
      <w:pPr>
        <w:spacing w:after="0" w:line="240" w:lineRule="auto"/>
        <w:rPr>
          <w:rFonts w:ascii="Arial" w:hAnsi="Arial" w:cs="Arial"/>
          <w:b/>
          <w:sz w:val="24"/>
          <w:szCs w:val="24"/>
        </w:rPr>
      </w:pPr>
    </w:p>
    <w:p w14:paraId="2261560D"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Angela Cassidy (University of Exeter)</w:t>
      </w:r>
    </w:p>
    <w:p w14:paraId="0B2F059F"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 “They can easily protect themselves, you see...” Conflicting Logics of Care in the UK Badger Culling Debate</w:t>
      </w:r>
    </w:p>
    <w:p w14:paraId="25F75086" w14:textId="77777777" w:rsidR="00C51771" w:rsidRPr="00C51771" w:rsidRDefault="00C51771" w:rsidP="00C51771">
      <w:pPr>
        <w:spacing w:after="0" w:line="240" w:lineRule="auto"/>
        <w:rPr>
          <w:rFonts w:ascii="Arial" w:hAnsi="Arial" w:cs="Arial"/>
          <w:b/>
          <w:sz w:val="24"/>
          <w:szCs w:val="24"/>
        </w:rPr>
      </w:pPr>
    </w:p>
    <w:p w14:paraId="1BD8DB28" w14:textId="77777777" w:rsidR="00C51771" w:rsidRPr="00C51771" w:rsidRDefault="00C51771" w:rsidP="00C51771">
      <w:pPr>
        <w:spacing w:after="0" w:line="240" w:lineRule="auto"/>
        <w:rPr>
          <w:rFonts w:ascii="Arial" w:eastAsia="Times New Roman" w:hAnsi="Arial" w:cs="Arial"/>
          <w:color w:val="000000"/>
          <w:sz w:val="24"/>
          <w:szCs w:val="24"/>
          <w:lang w:val="en-US"/>
        </w:rPr>
      </w:pPr>
      <w:r w:rsidRPr="00C51771">
        <w:rPr>
          <w:rFonts w:ascii="Arial" w:eastAsia="Times New Roman" w:hAnsi="Arial" w:cs="Arial"/>
          <w:color w:val="000000"/>
          <w:sz w:val="24"/>
          <w:szCs w:val="24"/>
          <w:lang w:val="en-US"/>
        </w:rPr>
        <w:t>Bovine TB (bTB) is an infectious disease of cattle which can also affect humans and other mammal species. Since government veterinarians connected persistent outbreaks of bTB in cattle with tuberculous badgers in 1971, the UK has seen an ongoing public controversy over this connection. This has centred upon the policy question of whether to cull badgers in order to control the disease, and uncertainties in expert knowledge informing this question. While these debates have increasingly focused on questions of evidence, questions of care have remained in the background, despite their importance in shaping policy decisions via the ‘humaneness’ (or otherwise) of culling techniques. This paper will draw upon Keck’s (2015) elaboration of Mol’s (2002) ‘logics of care’ to explore the contrasting modes of care at play in the badger culling debate. This includes the care of farmers (for livestock and land); policymakers (for citizens); veterinarians (for livestock and farmers); scientists (for knowledge and the natural world); naturalists (for wildlife and landscapes); and animal protection activists.  While some of these are conceived of as ‘conservation’, others are not. These logics of care have changed, intersecting and conflicting at different points in time, and changing the politics of badgers and bTB along the way.</w:t>
      </w:r>
    </w:p>
    <w:p w14:paraId="695C4307" w14:textId="77777777" w:rsidR="00C51771" w:rsidRPr="00C51771" w:rsidRDefault="00C51771" w:rsidP="00C51771">
      <w:pPr>
        <w:spacing w:after="0" w:line="240" w:lineRule="auto"/>
        <w:rPr>
          <w:rFonts w:ascii="Arial" w:eastAsia="Times New Roman" w:hAnsi="Arial" w:cs="Arial"/>
          <w:color w:val="000000"/>
          <w:sz w:val="24"/>
          <w:szCs w:val="24"/>
          <w:lang w:val="en-US"/>
        </w:rPr>
      </w:pPr>
    </w:p>
    <w:p w14:paraId="138457E9" w14:textId="77777777" w:rsidR="00C51771" w:rsidRPr="00C51771" w:rsidRDefault="00C51771" w:rsidP="00C51771">
      <w:pPr>
        <w:spacing w:after="0" w:line="240" w:lineRule="auto"/>
        <w:rPr>
          <w:rFonts w:ascii="Arial" w:hAnsi="Arial" w:cs="Arial"/>
          <w:sz w:val="24"/>
          <w:szCs w:val="24"/>
        </w:rPr>
      </w:pPr>
    </w:p>
    <w:p w14:paraId="572D3C7E"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Samantha Hurn (University of Exeter) </w:t>
      </w:r>
    </w:p>
    <w:p w14:paraId="7D76861C"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Street Dog Conservation</w:t>
      </w:r>
    </w:p>
    <w:p w14:paraId="4703E64B" w14:textId="77777777" w:rsidR="00C51771" w:rsidRPr="00C51771" w:rsidRDefault="00C51771" w:rsidP="00C51771">
      <w:pPr>
        <w:spacing w:after="0" w:line="240" w:lineRule="auto"/>
        <w:rPr>
          <w:rFonts w:ascii="Arial" w:hAnsi="Arial" w:cs="Arial"/>
          <w:sz w:val="24"/>
          <w:szCs w:val="24"/>
        </w:rPr>
      </w:pPr>
    </w:p>
    <w:p w14:paraId="7BA6AA7A"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Conservation initiatives tend to be associated with preserving endangered ‘wild’ species and natural habitats. In many contexts around the world, domestic dogs, and especially those who stray beyond the control of their human custodians, represent significant threats to such conservation efforts. Consequently, the suggestion that street or feral dogs might themselves be worthy of conservation may appear counter-intuitive. However, recent research has demonstrated that ‘unowned’ domestic dogs have also carved out their own viable, valuable ecological niches despite being under threat from ‘management’ programmes ultimately aimed at their eradication. Indeed, fuelled by wide ranging concerns including zoonotic disease transmission, pollution, inter-species violence, and symbolism, stray dog population management has become a global priority. As such, the study of contemporary stray dog populations aimed at documenting their locally-specific, vanishing ways of life represents a form of what might be termed ‘urgent anthrozoology’. Telling the stories of these doomed dogs, and exploring the ethics of management practices (e.g. TNR, culling) can also contribute to the burgeoning field of extinction studies. The paper will explore the lives and deaths of street dogs, situating them within the discourses of extinction studies, in order to demonstrate their conservation value in the Anthropocene.</w:t>
      </w:r>
    </w:p>
    <w:p w14:paraId="43E7055A" w14:textId="77777777" w:rsidR="00C51771" w:rsidRPr="00C51771" w:rsidRDefault="00C51771" w:rsidP="00C51771">
      <w:pPr>
        <w:spacing w:after="0" w:line="240" w:lineRule="auto"/>
        <w:rPr>
          <w:rFonts w:ascii="Arial" w:hAnsi="Arial" w:cs="Arial"/>
          <w:sz w:val="24"/>
          <w:szCs w:val="24"/>
        </w:rPr>
      </w:pPr>
    </w:p>
    <w:p w14:paraId="10C5316E" w14:textId="77777777" w:rsidR="00C51771" w:rsidRPr="00C51771" w:rsidRDefault="00C51771" w:rsidP="00C51771">
      <w:pPr>
        <w:spacing w:after="0" w:line="240" w:lineRule="auto"/>
        <w:rPr>
          <w:rFonts w:ascii="Arial" w:hAnsi="Arial" w:cs="Arial"/>
          <w:sz w:val="24"/>
          <w:szCs w:val="24"/>
        </w:rPr>
      </w:pPr>
    </w:p>
    <w:p w14:paraId="7805F35E"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Beth Savage (Practicing Artist) </w:t>
      </w:r>
    </w:p>
    <w:p w14:paraId="17565603"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lastRenderedPageBreak/>
        <w:t>Sites Of Encounter: The Zoo As Gallery And Other Curated Spaces Of Conservation</w:t>
      </w:r>
    </w:p>
    <w:p w14:paraId="662E641D" w14:textId="77777777" w:rsidR="00C51771" w:rsidRPr="00C51771" w:rsidRDefault="00C51771" w:rsidP="00C51771">
      <w:pPr>
        <w:spacing w:after="0" w:line="240" w:lineRule="auto"/>
        <w:rPr>
          <w:rFonts w:ascii="Arial" w:hAnsi="Arial" w:cs="Arial"/>
          <w:sz w:val="24"/>
          <w:szCs w:val="24"/>
        </w:rPr>
      </w:pPr>
    </w:p>
    <w:p w14:paraId="1CC3A120"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Following residencies at two different sites of conservation, a zoo and a nature reserve, this paper will explore the overlap between conservation and artistic practice. It will examine how the zoo, the reserve and the gallery act as sites of encounter and question the curatorial decisions that are made within these spaces; for example, which animals are represented and how is the ‘conservation message’ conveyed? Drawing on ideas such as Nicholas Bourriaud’s Relational Aesthetics and Shannon Jackson’s notions of the receiver’s role in performativity within art practice, this paper will explore the current visitor experiences of these sites and question the effectiveness of these encounters for the wider aims of conservation. As part of this discussion I will unpack how my own artistic research outcomes, as well as examples of works from the wider contemporary art world, respond to issues of conservation and the freedoms and limitations afforded by this approach. Through these deliberations I will also consider how aesthetic practices might influence future conservation projects, and how adopting creative approaches could potentially lead to a radical shift in conservation practice.</w:t>
      </w:r>
    </w:p>
    <w:p w14:paraId="18091461" w14:textId="77777777" w:rsidR="00C51771" w:rsidRPr="00C51771" w:rsidRDefault="00C51771" w:rsidP="00C51771">
      <w:pPr>
        <w:spacing w:after="0" w:line="240" w:lineRule="auto"/>
        <w:rPr>
          <w:rFonts w:ascii="Arial" w:hAnsi="Arial" w:cs="Arial"/>
          <w:sz w:val="24"/>
          <w:szCs w:val="24"/>
        </w:rPr>
      </w:pPr>
    </w:p>
    <w:p w14:paraId="2F5F9938" w14:textId="77777777" w:rsidR="00C51771" w:rsidRPr="00C51771" w:rsidRDefault="00C51771" w:rsidP="00C51771">
      <w:pPr>
        <w:spacing w:after="0" w:line="240" w:lineRule="auto"/>
        <w:rPr>
          <w:rFonts w:ascii="Arial" w:hAnsi="Arial" w:cs="Arial"/>
          <w:sz w:val="24"/>
          <w:szCs w:val="24"/>
        </w:rPr>
      </w:pPr>
    </w:p>
    <w:p w14:paraId="0185B3DE"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Cara Clancy (Plymouth University) </w:t>
      </w:r>
    </w:p>
    <w:p w14:paraId="0151F9CF"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bCs/>
          <w:iCs/>
          <w:sz w:val="24"/>
          <w:szCs w:val="24"/>
        </w:rPr>
        <w:t>Life In The Urban Wilds: The Culture And Politics Of ‘Rewilding’ (In) The Anthropocene</w:t>
      </w:r>
    </w:p>
    <w:p w14:paraId="40E9297B" w14:textId="77777777" w:rsidR="00C51771" w:rsidRPr="00C51771" w:rsidRDefault="00C51771" w:rsidP="00C51771">
      <w:pPr>
        <w:spacing w:after="0" w:line="240" w:lineRule="auto"/>
        <w:rPr>
          <w:rFonts w:ascii="Arial" w:hAnsi="Arial" w:cs="Arial"/>
          <w:sz w:val="24"/>
          <w:szCs w:val="24"/>
        </w:rPr>
      </w:pPr>
    </w:p>
    <w:p w14:paraId="4BE92A43" w14:textId="77777777" w:rsidR="00C51771" w:rsidRPr="00C51771" w:rsidRDefault="00C51771" w:rsidP="00C51771">
      <w:pPr>
        <w:spacing w:after="0" w:line="240" w:lineRule="auto"/>
        <w:rPr>
          <w:rFonts w:ascii="Arial" w:hAnsi="Arial" w:cs="Arial"/>
          <w:sz w:val="24"/>
          <w:szCs w:val="24"/>
          <w:lang w:val="en-US"/>
        </w:rPr>
      </w:pPr>
      <w:r w:rsidRPr="00C51771">
        <w:rPr>
          <w:rFonts w:ascii="Arial" w:hAnsi="Arial" w:cs="Arial"/>
          <w:sz w:val="24"/>
          <w:szCs w:val="24"/>
          <w:lang w:val="en-US"/>
        </w:rPr>
        <w:t>Rewilding, as a specific form of ecological restoration often involving the reintroduction of ‘missing’ keystone species, is a concept and practice gaining increasing momentum within popular media and the UK conservation movement. Rewilding conservation has the potential to respond creatively and flexibly to the future conditions of the Anthropocene. However to do this it must be understood in context, with strong attention given to local histories of place-making –an attention which takes into account the increasing importance of urban locations to conservation/Anthropocene futures.</w:t>
      </w:r>
      <w:r>
        <w:rPr>
          <w:rFonts w:ascii="Arial" w:hAnsi="Arial" w:cs="Arial"/>
          <w:sz w:val="24"/>
          <w:szCs w:val="24"/>
          <w:lang w:val="en-US"/>
        </w:rPr>
        <w:t xml:space="preserve"> </w:t>
      </w:r>
      <w:r w:rsidRPr="00C51771">
        <w:rPr>
          <w:rFonts w:ascii="Arial" w:hAnsi="Arial" w:cs="Arial"/>
          <w:sz w:val="24"/>
          <w:szCs w:val="24"/>
          <w:lang w:val="en-US"/>
        </w:rPr>
        <w:t xml:space="preserve">Focusing on the case of rewilding in urban contexts, this research will explore questions of: How do ‘wildness’ and ‘non-human autonomy’ figure and play out in these urban projects? What kinds of cultural/political values inform and underpin conservation decisions in such contexts? How are animal subjects expected to respond, thrive or simply </w:t>
      </w:r>
      <w:r w:rsidRPr="00C51771">
        <w:rPr>
          <w:rFonts w:ascii="Arial" w:hAnsi="Arial" w:cs="Arial"/>
          <w:i/>
          <w:iCs/>
          <w:sz w:val="24"/>
          <w:szCs w:val="24"/>
          <w:lang w:val="en-US"/>
        </w:rPr>
        <w:t>be</w:t>
      </w:r>
      <w:r w:rsidRPr="00C51771">
        <w:rPr>
          <w:rFonts w:ascii="Arial" w:hAnsi="Arial" w:cs="Arial"/>
          <w:sz w:val="24"/>
          <w:szCs w:val="24"/>
          <w:lang w:val="en-US"/>
        </w:rPr>
        <w:t xml:space="preserve"> in rewilded landscapes and cityscapes? How do the animal subjects find their place in this process, and make their own worlds? Such questions will be addressed through ‘more-than-human’ field methods inspired by latest thinking in geography and anthropology.</w:t>
      </w:r>
    </w:p>
    <w:p w14:paraId="4B071E03" w14:textId="77777777" w:rsidR="00C51771" w:rsidRPr="00C51771" w:rsidRDefault="00C51771" w:rsidP="00C51771">
      <w:pPr>
        <w:spacing w:after="0" w:line="240" w:lineRule="auto"/>
        <w:rPr>
          <w:rFonts w:ascii="Arial" w:hAnsi="Arial" w:cs="Arial"/>
          <w:sz w:val="24"/>
          <w:szCs w:val="24"/>
          <w:lang w:val="en-US"/>
        </w:rPr>
      </w:pPr>
    </w:p>
    <w:p w14:paraId="6B17327A" w14:textId="77777777" w:rsidR="00C51771" w:rsidRPr="00C51771" w:rsidRDefault="00C51771" w:rsidP="00C51771">
      <w:pPr>
        <w:spacing w:after="0" w:line="240" w:lineRule="auto"/>
        <w:rPr>
          <w:rFonts w:ascii="Arial" w:hAnsi="Arial" w:cs="Arial"/>
          <w:sz w:val="24"/>
          <w:szCs w:val="24"/>
        </w:rPr>
      </w:pPr>
    </w:p>
    <w:p w14:paraId="73F866E8"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Alan Ross (Humboldt University, Berlin) </w:t>
      </w:r>
    </w:p>
    <w:p w14:paraId="1B90C466" w14:textId="77777777" w:rsidR="00C51771" w:rsidRPr="00C51771" w:rsidRDefault="00C51771" w:rsidP="00C51771">
      <w:pPr>
        <w:spacing w:after="0" w:line="240" w:lineRule="auto"/>
        <w:rPr>
          <w:rFonts w:ascii="Arial" w:hAnsi="Arial" w:cs="Arial"/>
          <w:b/>
          <w:sz w:val="24"/>
          <w:szCs w:val="24"/>
          <w:lang w:val="en-US"/>
        </w:rPr>
      </w:pPr>
      <w:r w:rsidRPr="00C51771">
        <w:rPr>
          <w:rFonts w:ascii="Arial" w:hAnsi="Arial" w:cs="Arial"/>
          <w:b/>
          <w:sz w:val="24"/>
          <w:szCs w:val="24"/>
          <w:lang w:val="en-US"/>
        </w:rPr>
        <w:t>The Body As A Medium: Conservation Techniques And Visual Culture, 1660-1840</w:t>
      </w:r>
    </w:p>
    <w:p w14:paraId="1BCB491C" w14:textId="77777777" w:rsidR="00C51771" w:rsidRPr="00C51771" w:rsidRDefault="00C51771" w:rsidP="00C51771">
      <w:pPr>
        <w:spacing w:after="0" w:line="240" w:lineRule="auto"/>
        <w:rPr>
          <w:rFonts w:ascii="Arial" w:hAnsi="Arial" w:cs="Arial"/>
          <w:sz w:val="24"/>
          <w:szCs w:val="24"/>
          <w:lang w:val="en-US"/>
        </w:rPr>
      </w:pPr>
    </w:p>
    <w:p w14:paraId="60C078A8"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 xml:space="preserve">Advances in conservation techniques from the second half of the seventeenth century onwards, especially taxidermy, allowed for animal bodies to be sculpted and positioned in ways that made possible allusions to European iconographical traditions. This paper discusses the impact of the nascent culture of conservation on European visual culture by examining rare surviving eighteenth-century conserved </w:t>
      </w:r>
      <w:r w:rsidRPr="00C51771">
        <w:rPr>
          <w:rFonts w:ascii="Arial" w:hAnsi="Arial" w:cs="Arial"/>
          <w:sz w:val="24"/>
          <w:szCs w:val="24"/>
        </w:rPr>
        <w:lastRenderedPageBreak/>
        <w:t>specimen originating in the Leverian Museum/ London and the Linck collection/ Saxony and by tracing their odyssey through several collections as fashions of presenting the animal body changed. In accordance with the anthropology of images, a distinction is drawn between the image, the picture in which it resides, and the medium which provides the material fabric for both. The allegorical way in which eighteenth-century taxidermy had played with species barriers and the hierarchy of creation was deemed unfit for the scientific and educational purpose of the emerging museums of natural history. However, since conserved specimen invoked the appearance of the live animal, they also bore the charge of depictions of the animal body in European visual culture. In the case of the conserved animal body, the image and the medium could, therefore, not be separated from each other.</w:t>
      </w:r>
    </w:p>
    <w:p w14:paraId="52E1BBCB" w14:textId="77777777" w:rsidR="00C51771" w:rsidRPr="00C51771" w:rsidRDefault="00C51771" w:rsidP="00C51771">
      <w:pPr>
        <w:spacing w:after="0" w:line="240" w:lineRule="auto"/>
        <w:rPr>
          <w:rFonts w:ascii="Arial" w:hAnsi="Arial" w:cs="Arial"/>
          <w:sz w:val="24"/>
          <w:szCs w:val="24"/>
        </w:rPr>
      </w:pPr>
    </w:p>
    <w:p w14:paraId="38EE30C4" w14:textId="77777777" w:rsidR="00C51771" w:rsidRPr="00C51771" w:rsidRDefault="00C51771" w:rsidP="00C51771">
      <w:pPr>
        <w:spacing w:after="0" w:line="240" w:lineRule="auto"/>
        <w:rPr>
          <w:rFonts w:ascii="Arial" w:hAnsi="Arial" w:cs="Arial"/>
          <w:sz w:val="24"/>
          <w:szCs w:val="24"/>
        </w:rPr>
      </w:pPr>
    </w:p>
    <w:p w14:paraId="24D196C3"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Sally McIntyre (Practicing Artist)</w:t>
      </w:r>
    </w:p>
    <w:p w14:paraId="17917C3A"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‘How To Explain Radio To A Dead Huia: Listening Memorials To The Sounds And Silences Of Extinct New Zealand Birds’</w:t>
      </w:r>
    </w:p>
    <w:p w14:paraId="43577830" w14:textId="77777777" w:rsidR="00C51771" w:rsidRPr="00C51771" w:rsidRDefault="00C51771" w:rsidP="00C51771">
      <w:pPr>
        <w:spacing w:after="0" w:line="240" w:lineRule="auto"/>
        <w:rPr>
          <w:rFonts w:ascii="Arial" w:hAnsi="Arial" w:cs="Arial"/>
          <w:sz w:val="24"/>
          <w:szCs w:val="24"/>
        </w:rPr>
      </w:pPr>
    </w:p>
    <w:p w14:paraId="0DAAAF58"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In classical acoustic-ecological conceptions of the soundscape, the technological preservation of a sound mark might be understood to positively relate to the preserving of memory of place. But what of the sounds beyond (recorded) memory, that are already missing? Might there be value in suspending the fantasy of a natural plenitude of sonic fecundity, and its status as a potential recorded totality, to adequately acknowledge this haunting, or gap; to hear the past and present withdrawal of sound from an ecosystem and its soundscape, through ecological destruction? And once we have listened to this silence, how best to memorialise this loss? In a series of works focusing on what Dugal McKinnon has termed “ecological silencing” I explore the possibility for practice based research to investigate the lost birdsongs found within New Zealand colonial narratives, asking what it might mean to re-collect, through interventions into archival records, notation, and other material traces, the songs of bird species lost before the invention of recording technologies, and then to situate these lost songs back into hearing, including placing them back within what might be now listened to, and represented in phonographic or field recording practice, as the 'natural' soundscape.</w:t>
      </w:r>
    </w:p>
    <w:p w14:paraId="681577A4" w14:textId="77777777" w:rsidR="00C51771" w:rsidRPr="00C51771" w:rsidRDefault="00C51771" w:rsidP="00C51771">
      <w:pPr>
        <w:spacing w:after="0" w:line="240" w:lineRule="auto"/>
        <w:rPr>
          <w:rFonts w:ascii="Arial" w:hAnsi="Arial" w:cs="Arial"/>
          <w:sz w:val="24"/>
          <w:szCs w:val="24"/>
        </w:rPr>
      </w:pPr>
    </w:p>
    <w:p w14:paraId="1A9BC305" w14:textId="77777777" w:rsidR="00C51771" w:rsidRPr="00C51771" w:rsidRDefault="00C51771" w:rsidP="00C51771">
      <w:pPr>
        <w:spacing w:after="0" w:line="240" w:lineRule="auto"/>
        <w:rPr>
          <w:rFonts w:ascii="Arial" w:hAnsi="Arial" w:cs="Arial"/>
          <w:sz w:val="24"/>
          <w:szCs w:val="24"/>
        </w:rPr>
      </w:pPr>
    </w:p>
    <w:p w14:paraId="649554A1"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Anja Höing (University of Osnabrück)</w:t>
      </w:r>
    </w:p>
    <w:p w14:paraId="4FDC9F12" w14:textId="77777777" w:rsidR="00C51771" w:rsidRDefault="00C51771" w:rsidP="00C51771">
      <w:pPr>
        <w:spacing w:after="0" w:line="240" w:lineRule="auto"/>
        <w:rPr>
          <w:rFonts w:ascii="Arial" w:hAnsi="Arial" w:cs="Arial"/>
          <w:b/>
          <w:sz w:val="24"/>
          <w:szCs w:val="24"/>
        </w:rPr>
      </w:pPr>
      <w:r w:rsidRPr="00C51771">
        <w:rPr>
          <w:rFonts w:ascii="Arial" w:hAnsi="Arial" w:cs="Arial"/>
          <w:b/>
          <w:sz w:val="24"/>
          <w:szCs w:val="24"/>
        </w:rPr>
        <w:t>Conserving The Idea Of The Animal: Representations Of Conservation In British Animal Stories</w:t>
      </w:r>
    </w:p>
    <w:p w14:paraId="5DCF55AC" w14:textId="77777777" w:rsidR="00C51771" w:rsidRPr="00C51771" w:rsidRDefault="00C51771" w:rsidP="00C51771">
      <w:pPr>
        <w:spacing w:after="0" w:line="240" w:lineRule="auto"/>
        <w:rPr>
          <w:rFonts w:ascii="Arial" w:hAnsi="Arial" w:cs="Arial"/>
          <w:b/>
          <w:sz w:val="24"/>
          <w:szCs w:val="24"/>
        </w:rPr>
      </w:pPr>
    </w:p>
    <w:p w14:paraId="7616830B"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 xml:space="preserve">Literature reflects and discusses the innumerable issues and dilemmas conservation practice is riddled with. This paper will present close readings of two stories that approach conservation from vastly different angles. Gill Lewis’s human-focussed Sky Hawk (2011) contrasts the local, hidden conservation space to the institutionalised maximum security wildlife resort and emphasises the inseparable links between local and global conservation practices. Yet, in the story conserving is aimed at a single iconic species chosen not only for its aesthetic, but primarily for its symbolic value. The protagonists in fact protect neither a species nor a population, but a signifier in an entirely anthropocentric system. Peter Chippindale’s satire Mink! (1995) in contrast approaches conservation from an animal perspective. The story’s animal protagonists purposefully import an iconic species and present it to the humans as a </w:t>
      </w:r>
      <w:r w:rsidRPr="00C51771">
        <w:rPr>
          <w:rFonts w:ascii="Arial" w:hAnsi="Arial" w:cs="Arial"/>
          <w:sz w:val="24"/>
          <w:szCs w:val="24"/>
        </w:rPr>
        <w:lastRenderedPageBreak/>
        <w:t>spectacle, as they realise that the real value of their habitat – being an absolutely ordinary English wood – will not be considered worth protecting. Mink! thus satirises the very conservation practices which Sky Hawk takes for granted. Taken together, the stories allow a glimpse at the clash between the biocentric ideals informing the idea of conservation and its accommodation into Western anthropocentric consumerist culture.</w:t>
      </w:r>
    </w:p>
    <w:p w14:paraId="58AE3BD9" w14:textId="77777777" w:rsidR="00C51771" w:rsidRPr="00C51771" w:rsidRDefault="00C51771" w:rsidP="00C51771">
      <w:pPr>
        <w:spacing w:after="0" w:line="240" w:lineRule="auto"/>
        <w:rPr>
          <w:rFonts w:ascii="Arial" w:hAnsi="Arial" w:cs="Arial"/>
          <w:sz w:val="24"/>
          <w:szCs w:val="24"/>
        </w:rPr>
      </w:pPr>
    </w:p>
    <w:p w14:paraId="2F3AE19A" w14:textId="77777777" w:rsidR="00C51771" w:rsidRPr="00C51771" w:rsidRDefault="00C51771" w:rsidP="00C51771">
      <w:pPr>
        <w:spacing w:after="0" w:line="240" w:lineRule="auto"/>
        <w:rPr>
          <w:rFonts w:ascii="Arial" w:hAnsi="Arial" w:cs="Arial"/>
          <w:sz w:val="24"/>
          <w:szCs w:val="24"/>
        </w:rPr>
      </w:pPr>
    </w:p>
    <w:p w14:paraId="00EDAEC2"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Greg McElwain (The College of Idaho)</w:t>
      </w:r>
    </w:p>
    <w:p w14:paraId="39560BD6"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Conserving Whom Or What? Midgley And The Problem Of The Species And The Individual</w:t>
      </w:r>
    </w:p>
    <w:p w14:paraId="3510F5E6" w14:textId="77777777" w:rsidR="00C51771" w:rsidRPr="00C51771" w:rsidRDefault="00C51771" w:rsidP="00C51771">
      <w:pPr>
        <w:spacing w:after="0" w:line="240" w:lineRule="auto"/>
        <w:rPr>
          <w:rFonts w:ascii="Arial" w:hAnsi="Arial" w:cs="Arial"/>
          <w:b/>
          <w:sz w:val="24"/>
          <w:szCs w:val="24"/>
        </w:rPr>
      </w:pPr>
    </w:p>
    <w:p w14:paraId="66B63FBC"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This paper explores the dynamic of how wild and domestic animals and the quandary of species versus individuals are conceived of in environmental ethics through the insights of the prominent British philosopher Mary Midgley. Midgley's work in the early 1980s and beyond presents a shift away from liberal individualist animal ethics toward a sophisticated relational and holistic value system grounded in community, care, empathy, and other components of morality that are often overlooked or marginalized in (hyper)rationalist ethics, though now heavily emphasized in ecofeminist ethics. This is most exemplified in her concept of "the mixed community," which gained special attention with Baird Callicott's usage of it in his effort to create a "unified environmental ethics." This paper argues that Callicott misinterpreted, oversimplified, and misused Midgley's complex concept. Ultimately, Midgley, properly understood, does have much to offer to a unified animal and environmental ethics, including nuanced insights on the topic of conserving. Midgley offers a sensible and community-based approach to conserving that integrates numerous elements of our place in the world and our connection to animals and wider nature. This paper is supplemented with excerpts from personal interviews with Midgley from a forthcoming collaborative book project.</w:t>
      </w:r>
    </w:p>
    <w:p w14:paraId="78B7FE90" w14:textId="77777777" w:rsidR="00C51771" w:rsidRPr="00C51771" w:rsidRDefault="00C51771" w:rsidP="00C51771">
      <w:pPr>
        <w:spacing w:after="0" w:line="240" w:lineRule="auto"/>
        <w:rPr>
          <w:rFonts w:ascii="Arial" w:hAnsi="Arial" w:cs="Arial"/>
          <w:sz w:val="24"/>
          <w:szCs w:val="24"/>
        </w:rPr>
      </w:pPr>
    </w:p>
    <w:p w14:paraId="45ADD066" w14:textId="77777777" w:rsidR="00C51771" w:rsidRPr="00C51771" w:rsidRDefault="00C51771" w:rsidP="00C51771">
      <w:pPr>
        <w:spacing w:after="0" w:line="240" w:lineRule="auto"/>
        <w:rPr>
          <w:rFonts w:ascii="Arial" w:hAnsi="Arial" w:cs="Arial"/>
          <w:sz w:val="24"/>
          <w:szCs w:val="24"/>
        </w:rPr>
      </w:pPr>
    </w:p>
    <w:p w14:paraId="3820BD16"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 xml:space="preserve">Thomas White (University of Cambridge) </w:t>
      </w:r>
    </w:p>
    <w:p w14:paraId="5B02BB46"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Camels, Pastoralists And The State: The Politics Of Conservation In Northern China</w:t>
      </w:r>
    </w:p>
    <w:p w14:paraId="12D754CF" w14:textId="77777777" w:rsidR="00C51771" w:rsidRPr="00C51771" w:rsidRDefault="00C51771" w:rsidP="00C51771">
      <w:pPr>
        <w:spacing w:after="0" w:line="240" w:lineRule="auto"/>
        <w:rPr>
          <w:rFonts w:ascii="Arial" w:hAnsi="Arial" w:cs="Arial"/>
          <w:b/>
          <w:sz w:val="24"/>
          <w:szCs w:val="24"/>
        </w:rPr>
      </w:pPr>
    </w:p>
    <w:p w14:paraId="69DD3DA6"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 xml:space="preserve">This paper explores the kind of politics that conservation makes possible in Inner Mongolia, northern China. This ecologically-fragile region of grasslands and deserts contains significant numbers of ethnic Mongolian pastoralists, whose way of life is threatened by environmental change, mining, and the strict limits on livestock numbers that the state has imposed to combat desertification. For Mongolians in Alasha, western Inner Mongolia, one of the most significant changes in recent decades has been the plummeting numbers of the culturally-significant domestic Bactrian camel. Drawing on 18 months of anthropological fieldwork, I discuss the formation of an NGO, the ‘Alasha Camel Protection Society’, by a local Mongolian intellectuals. I show how this organisation has used an emerging official discourse of rare breed conservation to argue against the stocking limits and other state policies. In a context where mobilisation around notions indigenous rights is impossible, I argue that conservation affords room for political manoeuvre. I argue that to understand the political valency of camel conservation, we must attend to the </w:t>
      </w:r>
      <w:r w:rsidRPr="00C51771">
        <w:rPr>
          <w:rFonts w:ascii="Arial" w:hAnsi="Arial" w:cs="Arial"/>
          <w:sz w:val="24"/>
          <w:szCs w:val="24"/>
        </w:rPr>
        <w:lastRenderedPageBreak/>
        <w:t>particular charismatic quality of this animal. The paper therefore also seeks to provide an anthropological perspective on theories of nonhuman charisma.</w:t>
      </w:r>
    </w:p>
    <w:p w14:paraId="6792E8D6" w14:textId="77777777" w:rsidR="00C51771" w:rsidRPr="00C51771" w:rsidRDefault="00C51771" w:rsidP="00C51771">
      <w:pPr>
        <w:spacing w:after="0" w:line="240" w:lineRule="auto"/>
        <w:rPr>
          <w:rFonts w:ascii="Arial" w:hAnsi="Arial" w:cs="Arial"/>
          <w:sz w:val="24"/>
          <w:szCs w:val="24"/>
        </w:rPr>
      </w:pPr>
    </w:p>
    <w:p w14:paraId="09FB4A4A" w14:textId="77777777" w:rsidR="00C51771" w:rsidRPr="00C51771" w:rsidRDefault="00C51771" w:rsidP="00C51771">
      <w:pPr>
        <w:spacing w:after="0" w:line="240" w:lineRule="auto"/>
        <w:rPr>
          <w:rFonts w:ascii="Arial" w:hAnsi="Arial" w:cs="Arial"/>
          <w:sz w:val="24"/>
          <w:szCs w:val="24"/>
        </w:rPr>
      </w:pPr>
    </w:p>
    <w:p w14:paraId="085DA59E"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Pippa Marland (University of Worcester)</w:t>
      </w:r>
    </w:p>
    <w:p w14:paraId="0BA762BD" w14:textId="77777777" w:rsidR="00C51771" w:rsidRPr="00C51771" w:rsidRDefault="00C51771" w:rsidP="00C51771">
      <w:pPr>
        <w:spacing w:after="0" w:line="240" w:lineRule="auto"/>
        <w:rPr>
          <w:rFonts w:ascii="Arial" w:hAnsi="Arial" w:cs="Arial"/>
          <w:b/>
          <w:i/>
          <w:sz w:val="24"/>
          <w:szCs w:val="24"/>
        </w:rPr>
      </w:pPr>
      <w:r w:rsidRPr="00C51771">
        <w:rPr>
          <w:rFonts w:ascii="Arial" w:hAnsi="Arial" w:cs="Arial"/>
          <w:b/>
          <w:sz w:val="24"/>
          <w:szCs w:val="24"/>
        </w:rPr>
        <w:t xml:space="preserve">'A great altar-cairn of [...] corpses': A Reading Of The 'Guga Hunt' In Robert Macfarlane's </w:t>
      </w:r>
      <w:r w:rsidRPr="00C51771">
        <w:rPr>
          <w:rFonts w:ascii="Arial" w:hAnsi="Arial" w:cs="Arial"/>
          <w:b/>
          <w:i/>
          <w:sz w:val="24"/>
          <w:szCs w:val="24"/>
        </w:rPr>
        <w:t>The Old Ways</w:t>
      </w:r>
    </w:p>
    <w:p w14:paraId="2F8392F3" w14:textId="77777777" w:rsidR="00C51771" w:rsidRPr="00C51771" w:rsidRDefault="00C51771" w:rsidP="00C51771">
      <w:pPr>
        <w:spacing w:after="0" w:line="240" w:lineRule="auto"/>
        <w:rPr>
          <w:rFonts w:ascii="Arial" w:hAnsi="Arial" w:cs="Arial"/>
          <w:b/>
          <w:sz w:val="24"/>
          <w:szCs w:val="24"/>
        </w:rPr>
      </w:pPr>
    </w:p>
    <w:p w14:paraId="65A94725" w14:textId="77777777" w:rsidR="00C51771" w:rsidRPr="00C51771" w:rsidRDefault="00C51771" w:rsidP="00C51771">
      <w:pPr>
        <w:spacing w:after="0" w:line="240" w:lineRule="auto"/>
        <w:rPr>
          <w:rFonts w:ascii="Arial" w:hAnsi="Arial" w:cs="Arial"/>
          <w:sz w:val="24"/>
          <w:szCs w:val="24"/>
        </w:rPr>
      </w:pPr>
      <w:r w:rsidRPr="00C51771">
        <w:rPr>
          <w:rFonts w:ascii="Arial" w:hAnsi="Arial" w:cs="Arial"/>
          <w:sz w:val="24"/>
          <w:szCs w:val="24"/>
        </w:rPr>
        <w:t>Each year a party of around ten men departs from Lewis, in the Outer Hebrides, bound for Sula Sgeir, to take part in the annual 'guga hunt'. They spend two weeks encamped on the island, during which time they catch and kill two thousand gannet chicks in order to sell them for human consumption. While the RSPB does not formally object to the hunt, the practice has attracted controversy. Fraser MacDonald suggests that the guga hunt reflects both a deeper knowledge of animals and a much closer engagement with the environment than the ‘spectatorial gaze’ of the conservationist. However, at the same time, there have been calls from the SPCA and online pressure groups to ban the practice on grounds of cruelty to animals. Robert Macfarlane's account of the hunt in The Old Ways is prefaced by an allusion to the medieval tradition of navigatio, whereby Celtic scholars would make journeys in order ‘to undergo an apprenticeship to signs of strangeness’ thus becoming ‘more attentive to the meanings of [their] own time and place’. This paper explores the ways in which the guga hunt emerges in The Old Ways as a ‘sign of strangeness’ and teases out the contemporary meanings it reveals, moving beyond the competing discourses of hunting, cruelty and conservation to look at the challenges it poses to our conceptualisation of human/animal relations in, to use Rosi Braidotti’s term, our ‘posthuman planet’.</w:t>
      </w:r>
    </w:p>
    <w:p w14:paraId="2A1B5299" w14:textId="77777777" w:rsidR="00C51771" w:rsidRPr="00C51771" w:rsidRDefault="00C51771" w:rsidP="00C51771">
      <w:pPr>
        <w:spacing w:after="0" w:line="240" w:lineRule="auto"/>
        <w:rPr>
          <w:rFonts w:ascii="Arial" w:hAnsi="Arial" w:cs="Arial"/>
          <w:sz w:val="24"/>
          <w:szCs w:val="24"/>
        </w:rPr>
      </w:pPr>
    </w:p>
    <w:p w14:paraId="753C9098" w14:textId="77777777" w:rsidR="00C51771" w:rsidRPr="00C51771" w:rsidRDefault="00C51771" w:rsidP="00C51771">
      <w:pPr>
        <w:spacing w:after="0" w:line="240" w:lineRule="auto"/>
        <w:rPr>
          <w:rFonts w:ascii="Arial" w:hAnsi="Arial" w:cs="Arial"/>
          <w:sz w:val="24"/>
          <w:szCs w:val="24"/>
        </w:rPr>
      </w:pPr>
    </w:p>
    <w:p w14:paraId="2F840F55"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t>Violette Pouillard (University of Oxford)</w:t>
      </w:r>
    </w:p>
    <w:p w14:paraId="784CE9F2" w14:textId="77777777" w:rsidR="00C51771" w:rsidRPr="00C51771" w:rsidRDefault="00C51771" w:rsidP="00C51771">
      <w:pPr>
        <w:spacing w:after="0" w:line="240" w:lineRule="auto"/>
        <w:rPr>
          <w:rFonts w:ascii="Arial" w:hAnsi="Arial" w:cs="Arial"/>
          <w:sz w:val="24"/>
          <w:szCs w:val="24"/>
          <w:lang w:val="fr-FR"/>
        </w:rPr>
      </w:pPr>
      <w:r w:rsidRPr="00C51771">
        <w:rPr>
          <w:rFonts w:ascii="Arial" w:hAnsi="Arial" w:cs="Arial"/>
          <w:b/>
          <w:sz w:val="24"/>
          <w:szCs w:val="24"/>
          <w:lang w:val="fr-FR"/>
        </w:rPr>
        <w:t>Appropriation As Conservation. Practices Of Wildlife Management In The Belgian Congo, British Kenya And</w:t>
      </w:r>
      <w:r w:rsidRPr="00C51771">
        <w:rPr>
          <w:rFonts w:ascii="Arial" w:hAnsi="Arial" w:cs="Arial"/>
          <w:sz w:val="24"/>
          <w:szCs w:val="24"/>
          <w:lang w:val="fr-FR"/>
        </w:rPr>
        <w:t xml:space="preserve"> Uganda (1900-C. 1963)</w:t>
      </w:r>
    </w:p>
    <w:p w14:paraId="39B7E05A" w14:textId="77777777" w:rsidR="00C51771" w:rsidRPr="00C51771" w:rsidRDefault="00C51771" w:rsidP="00C51771">
      <w:pPr>
        <w:spacing w:after="0" w:line="240" w:lineRule="auto"/>
        <w:rPr>
          <w:rFonts w:ascii="Arial" w:hAnsi="Arial" w:cs="Arial"/>
          <w:sz w:val="24"/>
          <w:szCs w:val="24"/>
          <w:lang w:val="fr-FR"/>
        </w:rPr>
      </w:pPr>
    </w:p>
    <w:p w14:paraId="5E26A4DA" w14:textId="77777777" w:rsidR="00C51771" w:rsidRPr="00C51771" w:rsidRDefault="00C51771" w:rsidP="00C51771">
      <w:pPr>
        <w:spacing w:after="0" w:line="240" w:lineRule="auto"/>
        <w:rPr>
          <w:rFonts w:ascii="Arial" w:hAnsi="Arial" w:cs="Arial"/>
          <w:sz w:val="24"/>
          <w:szCs w:val="24"/>
          <w:lang w:val="fr-FR"/>
        </w:rPr>
      </w:pPr>
      <w:r w:rsidRPr="00C51771">
        <w:rPr>
          <w:rFonts w:ascii="Arial" w:hAnsi="Arial" w:cs="Arial"/>
          <w:sz w:val="24"/>
          <w:szCs w:val="24"/>
          <w:lang w:val="fr-FR"/>
        </w:rPr>
        <w:t>This paper, to be included in the category “Conserving how ?”, will examine the history of management of the most protected species in British and Belgian colonies in order to unveil the tensions between appropriation and protection of fauna. It will challenge the “MacKenzian orthodoxy” (Van Sittert, 2005) which, concerning the British Empire, regards more broadly the imperial relationships with wildlife, largely defined by the international conservation law. Following this paradigm, the beginning of the twentieth century saw a shift from the utilitarian and economic exploitation of wild animals for ivory, meat, and trophies by “the ordinary man” to “the Hunt”, a symbolic, codified sporting activity, framed by conservation laws and increasingly restricted to the Western colonial elite (MacKenzie, 1988). By paying attention to the materiality of policies and pratices and their effects on animals, beyond the official discourse and propaganda, this paper, however, will show that even the most rationalized practices framed by the conservation law reused former patterns, failed to reduce the effects of appropriation and implemented new forms of exploitation, a process that must be related to the utilitarian grounds of most colonial environmental policies. In conclusion, this paper will briefly examine the postcolonial legacy of these conservation policies.</w:t>
      </w:r>
    </w:p>
    <w:p w14:paraId="0B8F15F7" w14:textId="77777777" w:rsidR="00C51771" w:rsidRPr="00C51771" w:rsidRDefault="00C51771" w:rsidP="00C51771">
      <w:pPr>
        <w:spacing w:after="0" w:line="240" w:lineRule="auto"/>
        <w:rPr>
          <w:rFonts w:ascii="Arial" w:hAnsi="Arial" w:cs="Arial"/>
          <w:sz w:val="24"/>
          <w:szCs w:val="24"/>
        </w:rPr>
      </w:pPr>
    </w:p>
    <w:p w14:paraId="0B4A653F"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sz w:val="24"/>
          <w:szCs w:val="24"/>
        </w:rPr>
        <w:lastRenderedPageBreak/>
        <w:t>Wendy Woodward (University of the Western Cape)</w:t>
      </w:r>
    </w:p>
    <w:p w14:paraId="401AE46C" w14:textId="77777777" w:rsidR="00C51771" w:rsidRPr="00C51771" w:rsidRDefault="00C51771" w:rsidP="00C51771">
      <w:pPr>
        <w:spacing w:after="0" w:line="240" w:lineRule="auto"/>
        <w:rPr>
          <w:rFonts w:ascii="Arial" w:hAnsi="Arial" w:cs="Arial"/>
          <w:b/>
          <w:sz w:val="24"/>
          <w:szCs w:val="24"/>
        </w:rPr>
      </w:pPr>
      <w:r w:rsidRPr="00C51771">
        <w:rPr>
          <w:rFonts w:ascii="Arial" w:hAnsi="Arial" w:cs="Arial"/>
          <w:b/>
          <w:bCs/>
          <w:sz w:val="24"/>
          <w:szCs w:val="24"/>
        </w:rPr>
        <w:t>Marah And Sekhmet: Two Lionesses, Two Conservation Idols</w:t>
      </w:r>
    </w:p>
    <w:p w14:paraId="62B9E876" w14:textId="77777777" w:rsidR="00C51771" w:rsidRPr="00C51771" w:rsidRDefault="00C51771" w:rsidP="00C51771">
      <w:pPr>
        <w:spacing w:after="0" w:line="240" w:lineRule="auto"/>
        <w:rPr>
          <w:rFonts w:ascii="Arial" w:hAnsi="Arial" w:cs="Arial"/>
          <w:b/>
          <w:sz w:val="24"/>
          <w:szCs w:val="24"/>
        </w:rPr>
      </w:pPr>
    </w:p>
    <w:p w14:paraId="1117DFEB" w14:textId="77777777" w:rsidR="00C51771" w:rsidRPr="00C51771" w:rsidRDefault="00C51771" w:rsidP="00C51771">
      <w:pPr>
        <w:spacing w:line="240" w:lineRule="auto"/>
        <w:rPr>
          <w:rFonts w:ascii="Arial" w:hAnsi="Arial" w:cs="Arial"/>
          <w:sz w:val="24"/>
          <w:szCs w:val="24"/>
        </w:rPr>
      </w:pPr>
      <w:r w:rsidRPr="00C51771">
        <w:rPr>
          <w:rFonts w:ascii="Arial" w:hAnsi="Arial" w:cs="Arial"/>
          <w:sz w:val="24"/>
          <w:szCs w:val="24"/>
        </w:rPr>
        <w:t>In Saving the White Lions: One Woman’s Battle for Africa’s Most Sacred Animal (2013) Linda Tucker foregrounds the story of Marah, a photogenic white lioness. She is born in Bethlehem, South Africa at Christmas—a fulfilment of a sangoma’s prophecy--and is discursively situated within a mythology of “angelic starlions” as imagined by Credo Vusamuzula Mutwa, an eminent lion shaman. Tucker rescues Marah from certain death in the canned lion hunting industry, re-locating her to her “ancestral lands.” In her novel Green Lion (2015), Henrietta Rose-Innes has Sekhmet, a black-maned lioness, as a key attraction at The Lion House, a Cape Town zoo which is attempting to backbreed the extinct black-maned Cape lion. Rose-Innes queers material and discursive conservation practices and putative shamanism through her depiction of the lioness as an elusive, unseen presence, through the response of ‘animal nutters’ to the captive lioness and through the animal’s dangerous disappearance onto the Cape Flats. This paper will consider the figuring of these lionesses in nonfictional and fictional conservation narratives respectively in relation to Una Chaudhuri’s ‘zooesis’: “the discourse and representation of species in contemporary culture and performance.”</w:t>
      </w:r>
    </w:p>
    <w:sectPr w:rsidR="00C51771" w:rsidRPr="00C51771" w:rsidSect="00EE25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71"/>
    <w:rsid w:val="00936142"/>
    <w:rsid w:val="00A935E9"/>
    <w:rsid w:val="00C51771"/>
    <w:rsid w:val="00EE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McKay</dc:creator>
  <cp:lastModifiedBy>uos</cp:lastModifiedBy>
  <cp:revision>2</cp:revision>
  <dcterms:created xsi:type="dcterms:W3CDTF">2016-09-02T07:40:00Z</dcterms:created>
  <dcterms:modified xsi:type="dcterms:W3CDTF">2016-09-02T07:40:00Z</dcterms:modified>
</cp:coreProperties>
</file>